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86" w:rsidRPr="001011EB" w:rsidRDefault="00942D86" w:rsidP="00942D86">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بِسْمِ اللّٰهِ الرَّحْمٰنِ الرَّحِيمِ</w:t>
      </w:r>
    </w:p>
    <w:p w:rsidR="00942D86" w:rsidRPr="001011EB" w:rsidRDefault="00942D86" w:rsidP="00942D86">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وَ بِهِ نَسْتَعِينُ</w:t>
      </w:r>
    </w:p>
    <w:p w:rsidR="00942D86" w:rsidRPr="001011EB" w:rsidRDefault="00942D86" w:rsidP="00942D86">
      <w:pPr>
        <w:spacing w:before="120" w:after="0" w:line="240" w:lineRule="auto"/>
        <w:jc w:val="center"/>
        <w:rPr>
          <w:rFonts w:ascii="Calibri" w:hAnsi="Calibri" w:cs="Calibri"/>
          <w:color w:val="0000B0"/>
          <w:sz w:val="28"/>
          <w:szCs w:val="28"/>
        </w:rPr>
      </w:pPr>
      <w:r w:rsidRPr="001011EB">
        <w:rPr>
          <w:rFonts w:ascii="Calibri" w:hAnsi="Calibri" w:cs="Calibri"/>
          <w:color w:val="0000B0"/>
          <w:sz w:val="28"/>
          <w:szCs w:val="28"/>
        </w:rPr>
        <w:t xml:space="preserve">MESNEVİ-İ NURİYE </w:t>
      </w:r>
      <w:r>
        <w:rPr>
          <w:rFonts w:ascii="Calibri" w:hAnsi="Calibri" w:cs="Calibri"/>
          <w:color w:val="0000B0"/>
          <w:sz w:val="28"/>
          <w:szCs w:val="28"/>
        </w:rPr>
        <w:t>90-91</w:t>
      </w:r>
      <w:r w:rsidRPr="001011EB">
        <w:rPr>
          <w:rFonts w:ascii="Calibri" w:hAnsi="Calibri" w:cs="Calibri"/>
          <w:color w:val="0000B0"/>
          <w:sz w:val="28"/>
          <w:szCs w:val="28"/>
        </w:rPr>
        <w:t>. SAYFANIN TAHŞİYESİ</w:t>
      </w:r>
      <w:r>
        <w:rPr>
          <w:rFonts w:ascii="Calibri" w:hAnsi="Calibri" w:cs="Calibri"/>
          <w:color w:val="0000B0"/>
          <w:sz w:val="28"/>
          <w:szCs w:val="28"/>
        </w:rPr>
        <w:t xml:space="preserve"> – İctihad Mevzuu</w:t>
      </w:r>
      <w:r w:rsidRPr="00376015">
        <w:rPr>
          <w:rStyle w:val="DipnotSabitleyicisi"/>
          <w:rFonts w:ascii="Calibri" w:hAnsi="Calibri" w:cs="Calibri"/>
          <w:color w:val="0000B0"/>
          <w:sz w:val="28"/>
          <w:szCs w:val="28"/>
          <w:shd w:val="clear" w:color="auto" w:fill="FFFFFF"/>
        </w:rPr>
        <w:footnoteReference w:id="2"/>
      </w:r>
    </w:p>
    <w:p w:rsidR="00942D86" w:rsidRPr="00942D86" w:rsidRDefault="00942D86" w:rsidP="00942D86">
      <w:pPr>
        <w:spacing w:before="120" w:after="0" w:line="240" w:lineRule="auto"/>
        <w:jc w:val="both"/>
        <w:rPr>
          <w:rFonts w:ascii="Calibri" w:hAnsi="Calibri" w:cs="Calibri"/>
          <w:sz w:val="24"/>
          <w:szCs w:val="24"/>
        </w:rPr>
      </w:pPr>
      <w:r w:rsidRPr="00942D86">
        <w:rPr>
          <w:rFonts w:ascii="Calibri" w:hAnsi="Calibri" w:cs="Calibri"/>
          <w:b/>
          <w:bCs/>
          <w:sz w:val="24"/>
          <w:szCs w:val="24"/>
        </w:rPr>
        <w:t>İ'lem!</w:t>
      </w:r>
      <w:r w:rsidRPr="00942D86">
        <w:rPr>
          <w:rFonts w:ascii="Calibri" w:hAnsi="Calibri" w:cs="Calibri"/>
          <w:sz w:val="24"/>
          <w:szCs w:val="24"/>
        </w:rPr>
        <w:t xml:space="preserve"> Mesail-i diniyeden olan içtihad</w:t>
      </w:r>
      <w:r>
        <w:rPr>
          <w:rStyle w:val="FootnoteReference"/>
          <w:rFonts w:ascii="Calibri" w:hAnsi="Calibri" w:cs="Calibri"/>
          <w:sz w:val="24"/>
          <w:szCs w:val="24"/>
        </w:rPr>
        <w:footnoteReference w:id="3"/>
      </w:r>
      <w:r w:rsidRPr="00942D86">
        <w:rPr>
          <w:rFonts w:ascii="Calibri" w:hAnsi="Calibri" w:cs="Calibri"/>
          <w:sz w:val="24"/>
          <w:szCs w:val="24"/>
        </w:rPr>
        <w:t xml:space="preserve"> kapısı açıktır. Fakat, şu zamanda oraya girmeğe altı mani vardır:</w:t>
      </w:r>
    </w:p>
    <w:p w:rsidR="00942D86" w:rsidRPr="00942D86" w:rsidRDefault="00942D86" w:rsidP="00942D86">
      <w:pPr>
        <w:spacing w:before="120" w:after="0" w:line="240" w:lineRule="auto"/>
        <w:jc w:val="both"/>
        <w:rPr>
          <w:rFonts w:ascii="Calibri" w:hAnsi="Calibri" w:cs="Calibri"/>
          <w:sz w:val="24"/>
          <w:szCs w:val="24"/>
        </w:rPr>
      </w:pPr>
      <w:r w:rsidRPr="002E2AA3">
        <w:rPr>
          <w:rFonts w:ascii="Calibri" w:hAnsi="Calibri" w:cs="Calibri"/>
          <w:b/>
          <w:bCs/>
          <w:sz w:val="24"/>
          <w:szCs w:val="24"/>
        </w:rPr>
        <w:t>Birincisi:</w:t>
      </w:r>
      <w:r w:rsidRPr="00942D86">
        <w:rPr>
          <w:rFonts w:ascii="Calibri" w:hAnsi="Calibri" w:cs="Calibri"/>
          <w:sz w:val="24"/>
          <w:szCs w:val="24"/>
        </w:rPr>
        <w:t xml:space="preserve"> Nasılki kışta fırtınaların şiddetli olduğu bir vakitte, dar delikler dahi seddedilir; yeni kapılar açmak hiç bir cihetle kâr-ı akıl değil. Hem nasılki büyük bir selin hücumunda tamir için duvarlarda delikler açmak gark olmağa vesiledir. Öyle de: Şu münkerat zamanında ve âdât-ı ecanibin istilâsı ânında ve bid'aların kesreti vaktinde ve dalaletin tahribatı hengâmında, içtihad nâmıyla kasr-ı İslâmiyetten yeni kapılar açıp duvarlarında muharriblerin girmesine vesile olacak olan delikler açmak, İslâmiyete cinayettir.</w:t>
      </w:r>
    </w:p>
    <w:p w:rsidR="00942D86" w:rsidRDefault="00942D86" w:rsidP="00942D86">
      <w:pPr>
        <w:spacing w:before="120" w:after="0" w:line="240" w:lineRule="auto"/>
        <w:jc w:val="both"/>
        <w:rPr>
          <w:rFonts w:ascii="Calibri" w:hAnsi="Calibri" w:cs="Calibri"/>
          <w:sz w:val="24"/>
          <w:szCs w:val="24"/>
        </w:rPr>
      </w:pPr>
      <w:r w:rsidRPr="002E2AA3">
        <w:rPr>
          <w:rFonts w:ascii="Calibri" w:hAnsi="Calibri" w:cs="Calibri"/>
          <w:b/>
          <w:bCs/>
          <w:sz w:val="24"/>
          <w:szCs w:val="24"/>
        </w:rPr>
        <w:t>İkincisi:</w:t>
      </w:r>
      <w:r w:rsidRPr="00942D86">
        <w:rPr>
          <w:rFonts w:ascii="Calibri" w:hAnsi="Calibri" w:cs="Calibri"/>
          <w:sz w:val="24"/>
          <w:szCs w:val="24"/>
        </w:rPr>
        <w:t xml:space="preserve"> Dinin zaruriyatı ki içtihad onlara giremez.</w:t>
      </w:r>
      <w:r w:rsidR="002E2AA3">
        <w:rPr>
          <w:rStyle w:val="FootnoteReference"/>
          <w:rFonts w:ascii="Calibri" w:hAnsi="Calibri" w:cs="Calibri"/>
          <w:sz w:val="24"/>
          <w:szCs w:val="24"/>
        </w:rPr>
        <w:footnoteReference w:id="4"/>
      </w:r>
      <w:r w:rsidRPr="00942D86">
        <w:rPr>
          <w:rFonts w:ascii="Calibri" w:hAnsi="Calibri" w:cs="Calibri"/>
          <w:sz w:val="24"/>
          <w:szCs w:val="24"/>
        </w:rPr>
        <w:t xml:space="preserve"> Çünki kat'î ve muayyendirler. Hem o zaruriyat, kut ve gıda hükmündedirler; şu zamanda terke uğruyorlar ve tezelzüldedirler. Ve bütün himmet ve gayreti onların ikamesine ve ihyasına sarfetmek lâzım gelirken, İslâmiyetin nazariyat kısmında ve selefin içtihadat-ı safiyane ve hâlisanesiyle bütün zamanların hacatına dar gelmeyen efkârları olduğu halde, onları bırakıp, heveskârane yeni içtihadlar yapmak; bid'atkârane bir hıyanettir.</w:t>
      </w:r>
      <w:r w:rsidR="00002945">
        <w:rPr>
          <w:rStyle w:val="FootnoteReference"/>
          <w:rFonts w:ascii="Calibri" w:hAnsi="Calibri" w:cs="Calibri"/>
          <w:sz w:val="24"/>
          <w:szCs w:val="24"/>
        </w:rPr>
        <w:footnoteReference w:id="5"/>
      </w:r>
    </w:p>
    <w:p w:rsidR="002E2AA3" w:rsidRPr="002E2AA3" w:rsidRDefault="002E2AA3" w:rsidP="002E2AA3">
      <w:pPr>
        <w:spacing w:before="120" w:after="0" w:line="240" w:lineRule="auto"/>
        <w:jc w:val="both"/>
        <w:rPr>
          <w:rFonts w:ascii="Calibri" w:hAnsi="Calibri" w:cs="Calibri"/>
          <w:sz w:val="24"/>
          <w:szCs w:val="24"/>
        </w:rPr>
      </w:pPr>
      <w:r w:rsidRPr="002E2AA3">
        <w:rPr>
          <w:rFonts w:ascii="Calibri" w:hAnsi="Calibri" w:cs="Calibri"/>
          <w:b/>
          <w:bCs/>
          <w:sz w:val="24"/>
          <w:szCs w:val="24"/>
        </w:rPr>
        <w:t>Üçüncüsü:</w:t>
      </w:r>
      <w:r w:rsidRPr="002E2AA3">
        <w:rPr>
          <w:rFonts w:ascii="Calibri" w:hAnsi="Calibri" w:cs="Calibri"/>
          <w:sz w:val="24"/>
          <w:szCs w:val="24"/>
        </w:rPr>
        <w:t xml:space="preserve"> Her zamanın insanlarınca, kıymetli addedilerek efkârı celbeden cazibedar bir meta mergubdur. Meselâ: Bu zamanda en rağbetli, en iftiharlı, siyasetle iştigal ve dünya hayatını temin etmektir. Selef-i sâlihîn asrında ve o zaman çarşısında en mergub meta, Hâlık-ı Semavat ve Arz'ın marziyatlarını ve bizden arzularını kelâmından istinbat etmek ve nur-u nübüvvet ve Kur'an ile kapatılmayacak derecede açılan âhiret âlemindeki saadet-i ebediyeyi kazandırmak ve vesailini elde etmek idi. Bu itibarla, o zamanlarda bütün fikirler, kalbler, ruhlar marziyat-ı İlahiyeyi bilmek ve öğrenmeğe müteveccih idi. Bunun için, istidad ve iktidarı olanlar o zamanlarda vukua gelen bütün ahval ve vukuat ve muhaverattan ders almakla, içtihadlara zemin teşkil eden yüksek istidadlar vücuda gelirdi.</w:t>
      </w:r>
    </w:p>
    <w:p w:rsidR="002E2AA3" w:rsidRPr="002E2AA3" w:rsidRDefault="002E2AA3" w:rsidP="002E2AA3">
      <w:pPr>
        <w:spacing w:before="120" w:after="0" w:line="240" w:lineRule="auto"/>
        <w:jc w:val="both"/>
        <w:rPr>
          <w:rFonts w:ascii="Calibri" w:hAnsi="Calibri" w:cs="Calibri"/>
          <w:sz w:val="24"/>
          <w:szCs w:val="24"/>
        </w:rPr>
      </w:pPr>
      <w:r w:rsidRPr="002E2AA3">
        <w:rPr>
          <w:rFonts w:ascii="Calibri" w:hAnsi="Calibri" w:cs="Calibri"/>
          <w:sz w:val="24"/>
          <w:szCs w:val="24"/>
        </w:rPr>
        <w:t>Şimdi ise, fikir ve kalblerin teşettütü, inayet ve himmetlerin za'fiyeti, insanların siyaset ve felsefeye</w:t>
      </w:r>
      <w:r w:rsidR="003F4F7D">
        <w:rPr>
          <w:rStyle w:val="FootnoteReference"/>
          <w:rFonts w:ascii="Calibri" w:hAnsi="Calibri" w:cs="Calibri"/>
          <w:sz w:val="24"/>
          <w:szCs w:val="24"/>
        </w:rPr>
        <w:footnoteReference w:id="6"/>
      </w:r>
      <w:r w:rsidRPr="002E2AA3">
        <w:rPr>
          <w:rFonts w:ascii="Calibri" w:hAnsi="Calibri" w:cs="Calibri"/>
          <w:sz w:val="24"/>
          <w:szCs w:val="24"/>
        </w:rPr>
        <w:t xml:space="preserve"> ibtilâ ve rağbetleri yüzünden, bütün istidadlar fünun-u hazıra ve hayat-ı dünyeviyeye müteveccihtir.</w:t>
      </w:r>
      <w:r w:rsidR="00300961">
        <w:rPr>
          <w:rStyle w:val="FootnoteReference"/>
          <w:rFonts w:ascii="Calibri" w:hAnsi="Calibri" w:cs="Calibri"/>
          <w:sz w:val="24"/>
          <w:szCs w:val="24"/>
        </w:rPr>
        <w:footnoteReference w:id="7"/>
      </w:r>
      <w:r w:rsidRPr="002E2AA3">
        <w:rPr>
          <w:rFonts w:ascii="Calibri" w:hAnsi="Calibri" w:cs="Calibri"/>
          <w:sz w:val="24"/>
          <w:szCs w:val="24"/>
        </w:rPr>
        <w:t xml:space="preserve"> Ahkâm-ı diniyeye sarfedilecek müstakim bir içtihad yoktur.</w:t>
      </w:r>
    </w:p>
    <w:p w:rsidR="002E2AA3" w:rsidRPr="002E2AA3" w:rsidRDefault="002E2AA3" w:rsidP="002E2AA3">
      <w:pPr>
        <w:spacing w:before="120" w:after="0" w:line="240" w:lineRule="auto"/>
        <w:jc w:val="both"/>
        <w:rPr>
          <w:rFonts w:ascii="Calibri" w:hAnsi="Calibri" w:cs="Calibri"/>
          <w:sz w:val="24"/>
          <w:szCs w:val="24"/>
        </w:rPr>
      </w:pPr>
      <w:r w:rsidRPr="002E2AA3">
        <w:rPr>
          <w:rFonts w:ascii="Calibri" w:hAnsi="Calibri" w:cs="Calibri"/>
          <w:b/>
          <w:bCs/>
          <w:sz w:val="24"/>
          <w:szCs w:val="24"/>
        </w:rPr>
        <w:lastRenderedPageBreak/>
        <w:t>Dördüncüsü:</w:t>
      </w:r>
      <w:r w:rsidRPr="002E2AA3">
        <w:rPr>
          <w:rFonts w:ascii="Calibri" w:hAnsi="Calibri" w:cs="Calibri"/>
          <w:sz w:val="24"/>
          <w:szCs w:val="24"/>
        </w:rPr>
        <w:t xml:space="preserve"> İçtihad kapısından İslâmiyete girip mesailini genişlendirmeğe meyleden adamın maksadı, zaruriyata imtisal ile takva ve kemale mazhariyet ise güzeldir. Amma zaruriyatı terk ve hayat-ı dünyeviyeyi, hayat-ı uhreviyeye tercih eden adam ise, onun içtihada meyli, meyl-üt tahribdir. Tekliften çıkıp kaçmak için bir yol bulmaktır.</w:t>
      </w:r>
      <w:r w:rsidR="003F4F7D">
        <w:rPr>
          <w:rStyle w:val="FootnoteReference"/>
          <w:rFonts w:ascii="Calibri" w:hAnsi="Calibri" w:cs="Calibri"/>
          <w:sz w:val="24"/>
          <w:szCs w:val="24"/>
        </w:rPr>
        <w:footnoteReference w:id="8"/>
      </w:r>
    </w:p>
    <w:p w:rsidR="002E2AA3" w:rsidRPr="002E2AA3" w:rsidRDefault="002E2AA3" w:rsidP="002E2AA3">
      <w:pPr>
        <w:spacing w:before="120" w:after="0" w:line="240" w:lineRule="auto"/>
        <w:jc w:val="both"/>
        <w:rPr>
          <w:rFonts w:ascii="Calibri" w:hAnsi="Calibri" w:cs="Calibri"/>
          <w:sz w:val="24"/>
          <w:szCs w:val="24"/>
        </w:rPr>
      </w:pPr>
      <w:r w:rsidRPr="002E2AA3">
        <w:rPr>
          <w:rFonts w:ascii="Calibri" w:hAnsi="Calibri" w:cs="Calibri"/>
          <w:b/>
          <w:bCs/>
          <w:sz w:val="24"/>
          <w:szCs w:val="24"/>
        </w:rPr>
        <w:t>Beşincisi:</w:t>
      </w:r>
      <w:r w:rsidRPr="002E2AA3">
        <w:rPr>
          <w:rFonts w:ascii="Calibri" w:hAnsi="Calibri" w:cs="Calibri"/>
          <w:sz w:val="24"/>
          <w:szCs w:val="24"/>
        </w:rPr>
        <w:t xml:space="preserve"> Her şeyin, her hükmün vücuda gelmesi bir illete binaen olduğu gibi, bir maslahata dahi tâbi'dir. Fakat maslahat, illet değildir. Ancak tercih edici bir hikmettir. Bu zamanın efkârı, </w:t>
      </w:r>
      <w:r w:rsidRPr="002E2AA3">
        <w:rPr>
          <w:rFonts w:ascii="Calibri" w:hAnsi="Calibri" w:cs="Calibri"/>
          <w:sz w:val="24"/>
          <w:szCs w:val="24"/>
        </w:rPr>
        <w:lastRenderedPageBreak/>
        <w:t>bizzât saadet-i dünyaya müteveccihtir. Şeriatın nazarı ise, bizzât saadet-i uhreviyeye müteveccih olup, bittabi dünyaya da nâzırdır. Çünki dünya âhirete vesiledir.</w:t>
      </w:r>
    </w:p>
    <w:p w:rsidR="00F34A8D" w:rsidRPr="00F34A8D" w:rsidRDefault="002E2AA3" w:rsidP="00F34A8D">
      <w:pPr>
        <w:spacing w:before="120" w:after="0" w:line="240" w:lineRule="auto"/>
        <w:jc w:val="both"/>
        <w:rPr>
          <w:rFonts w:ascii="Calibri" w:hAnsi="Calibri" w:cs="Calibri"/>
          <w:sz w:val="24"/>
          <w:szCs w:val="24"/>
        </w:rPr>
      </w:pPr>
      <w:r w:rsidRPr="002E2AA3">
        <w:rPr>
          <w:rFonts w:ascii="Calibri" w:hAnsi="Calibri" w:cs="Calibri"/>
          <w:sz w:val="24"/>
          <w:szCs w:val="24"/>
        </w:rPr>
        <w:t>Umumî bir beliyye olan ve nâsın ona mübtela olduğu çok işler vardır ki zaruriyattan olmuştur. O gibi işler sû'-i ihtiyar ile gayr-ı meşru meyillerden doğmuş olduklarından, mahzuratı ibahe eden zaruriyattan değildir. Ve ruhsat ve müsaade-i şer'iyenin şümulüne dâhil olamazlar. Meselâ: Bir adam sû'-i ihtiyarıyla haram bir tarzda kendini sarhoş etse, hal-i sekirde yaptığı tasarrufatta mazur olamaz. Bu zamanda bu gibi içtihadlar, semavî değil ancak arzî içtihadlardır.</w:t>
      </w:r>
      <w:r w:rsidR="00F34A8D">
        <w:rPr>
          <w:rFonts w:ascii="Calibri" w:hAnsi="Calibri" w:cs="Calibri"/>
          <w:sz w:val="24"/>
          <w:szCs w:val="24"/>
        </w:rPr>
        <w:t xml:space="preserve"> </w:t>
      </w:r>
      <w:r w:rsidR="00F34A8D" w:rsidRPr="00F34A8D">
        <w:rPr>
          <w:rFonts w:ascii="Calibri" w:hAnsi="Calibri" w:cs="Calibri"/>
          <w:sz w:val="24"/>
          <w:szCs w:val="24"/>
        </w:rPr>
        <w:t>Bu gibi içtihadlar ile Hâlık-ı Semavat ve Arz'ın hükümlerinde yapılan tasarrufat merduddur.</w:t>
      </w:r>
    </w:p>
    <w:p w:rsidR="00F34A8D" w:rsidRPr="00F34A8D" w:rsidRDefault="00F34A8D" w:rsidP="00F34A8D">
      <w:pPr>
        <w:spacing w:before="120" w:after="0" w:line="240" w:lineRule="auto"/>
        <w:jc w:val="both"/>
        <w:rPr>
          <w:rFonts w:ascii="Calibri" w:hAnsi="Calibri" w:cs="Calibri"/>
          <w:sz w:val="24"/>
          <w:szCs w:val="24"/>
        </w:rPr>
      </w:pPr>
      <w:r w:rsidRPr="00F34A8D">
        <w:rPr>
          <w:rFonts w:ascii="Calibri" w:hAnsi="Calibri" w:cs="Calibri"/>
          <w:b/>
          <w:bCs/>
          <w:sz w:val="24"/>
          <w:szCs w:val="24"/>
        </w:rPr>
        <w:t>Meselâ:</w:t>
      </w:r>
      <w:r w:rsidRPr="00F34A8D">
        <w:rPr>
          <w:rFonts w:ascii="Calibri" w:hAnsi="Calibri" w:cs="Calibri"/>
          <w:sz w:val="24"/>
          <w:szCs w:val="24"/>
        </w:rPr>
        <w:t xml:space="preserve"> Bazı gafiller, hutbenin Türkçe okunmasını istihsan ediyorlar ki, halkın bilhâssa siyasî ahvalden haberleri olsun. Halbuki bu gibi ahval-i siyasiye yalandan, hileden, şeytanî fikirlerden hâlî değildir.</w:t>
      </w:r>
      <w:r w:rsidR="008D58A6">
        <w:rPr>
          <w:rStyle w:val="FootnoteReference"/>
          <w:rFonts w:ascii="Calibri" w:hAnsi="Calibri" w:cs="Calibri"/>
          <w:sz w:val="24"/>
          <w:szCs w:val="24"/>
        </w:rPr>
        <w:footnoteReference w:id="9"/>
      </w:r>
      <w:r w:rsidRPr="00F34A8D">
        <w:rPr>
          <w:rFonts w:ascii="Calibri" w:hAnsi="Calibri" w:cs="Calibri"/>
          <w:sz w:val="24"/>
          <w:szCs w:val="24"/>
        </w:rPr>
        <w:t xml:space="preserve"> Hutbe makamı ise, ahkâm-ı İlahiyenin tebliği için ittihaz edilmiş bir makamdır.</w:t>
      </w:r>
    </w:p>
    <w:p w:rsidR="00F34A8D" w:rsidRPr="00F34A8D" w:rsidRDefault="00F34A8D" w:rsidP="00F34A8D">
      <w:pPr>
        <w:spacing w:before="120" w:after="0" w:line="240" w:lineRule="auto"/>
        <w:jc w:val="both"/>
        <w:rPr>
          <w:rFonts w:ascii="Calibri" w:hAnsi="Calibri" w:cs="Calibri"/>
          <w:sz w:val="24"/>
          <w:szCs w:val="24"/>
        </w:rPr>
      </w:pPr>
      <w:r w:rsidRPr="00F34A8D">
        <w:rPr>
          <w:rFonts w:ascii="Calibri" w:hAnsi="Calibri" w:cs="Calibri"/>
          <w:b/>
          <w:bCs/>
          <w:sz w:val="24"/>
          <w:szCs w:val="24"/>
        </w:rPr>
        <w:t>Sual:</w:t>
      </w:r>
      <w:r w:rsidRPr="00F34A8D">
        <w:rPr>
          <w:rFonts w:ascii="Calibri" w:hAnsi="Calibri" w:cs="Calibri"/>
          <w:sz w:val="24"/>
          <w:szCs w:val="24"/>
        </w:rPr>
        <w:t xml:space="preserve"> Avam-ı nâs</w:t>
      </w:r>
      <w:r w:rsidR="008D58A6">
        <w:rPr>
          <w:rStyle w:val="FootnoteReference"/>
          <w:rFonts w:ascii="Calibri" w:hAnsi="Calibri" w:cs="Calibri"/>
          <w:sz w:val="24"/>
          <w:szCs w:val="24"/>
        </w:rPr>
        <w:footnoteReference w:id="10"/>
      </w:r>
      <w:r w:rsidR="008D58A6">
        <w:rPr>
          <w:rFonts w:ascii="Calibri" w:hAnsi="Calibri" w:cs="Calibri"/>
          <w:sz w:val="24"/>
          <w:szCs w:val="24"/>
        </w:rPr>
        <w:t xml:space="preserve"> </w:t>
      </w:r>
      <w:r w:rsidRPr="00F34A8D">
        <w:rPr>
          <w:rFonts w:ascii="Calibri" w:hAnsi="Calibri" w:cs="Calibri"/>
          <w:sz w:val="24"/>
          <w:szCs w:val="24"/>
        </w:rPr>
        <w:t>Arabîden haberdar değildir, fehmedemez?</w:t>
      </w:r>
    </w:p>
    <w:p w:rsidR="00F34A8D" w:rsidRPr="00F34A8D" w:rsidRDefault="00F34A8D" w:rsidP="00F34A8D">
      <w:pPr>
        <w:spacing w:before="120" w:after="0" w:line="240" w:lineRule="auto"/>
        <w:jc w:val="both"/>
        <w:rPr>
          <w:rFonts w:ascii="Calibri" w:hAnsi="Calibri" w:cs="Calibri"/>
          <w:sz w:val="24"/>
          <w:szCs w:val="24"/>
        </w:rPr>
      </w:pPr>
      <w:r w:rsidRPr="00F34A8D">
        <w:rPr>
          <w:rFonts w:ascii="Calibri" w:hAnsi="Calibri" w:cs="Calibri"/>
          <w:b/>
          <w:bCs/>
          <w:sz w:val="24"/>
          <w:szCs w:val="24"/>
        </w:rPr>
        <w:t>Cevab:</w:t>
      </w:r>
      <w:r w:rsidRPr="00F34A8D">
        <w:rPr>
          <w:rFonts w:ascii="Calibri" w:hAnsi="Calibri" w:cs="Calibri"/>
          <w:sz w:val="24"/>
          <w:szCs w:val="24"/>
        </w:rPr>
        <w:t xml:space="preserve"> Avam-ı nâs, zaruriyat ve müsellemat-ı diniyeye muhtaçtır. Ve hutbe makamı da bu gibi hükümlerin tebliği içindir. Bu hükümler kisve-i Arabiye içinde tafsilen değilse de icmalen avam-ı nâsa malûm ve maruftur. Maahaza lisan-ı Arabda bulunan şehamet, yükseklik, meziyet, satvet diğer lisanlarda yoktur...</w:t>
      </w:r>
    </w:p>
    <w:p w:rsidR="0069323D" w:rsidRDefault="0069323D" w:rsidP="00942D86">
      <w:pPr>
        <w:spacing w:before="120" w:after="0" w:line="240" w:lineRule="auto"/>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20B" w:rsidRDefault="0093520B" w:rsidP="00942D86">
      <w:pPr>
        <w:spacing w:after="0" w:line="240" w:lineRule="auto"/>
      </w:pPr>
      <w:r>
        <w:separator/>
      </w:r>
    </w:p>
  </w:endnote>
  <w:endnote w:type="continuationSeparator" w:id="1">
    <w:p w:rsidR="0093520B" w:rsidRDefault="0093520B" w:rsidP="00942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20B" w:rsidRDefault="0093520B" w:rsidP="00942D86">
      <w:pPr>
        <w:spacing w:after="0" w:line="240" w:lineRule="auto"/>
      </w:pPr>
      <w:r>
        <w:separator/>
      </w:r>
    </w:p>
  </w:footnote>
  <w:footnote w:type="continuationSeparator" w:id="1">
    <w:p w:rsidR="0093520B" w:rsidRDefault="0093520B" w:rsidP="00942D86">
      <w:pPr>
        <w:spacing w:after="0" w:line="240" w:lineRule="auto"/>
      </w:pPr>
      <w:r>
        <w:continuationSeparator/>
      </w:r>
    </w:p>
  </w:footnote>
  <w:footnote w:id="2">
    <w:p w:rsidR="00942D86" w:rsidRPr="002E2AA3" w:rsidRDefault="00942D86" w:rsidP="008D58A6">
      <w:pPr>
        <w:pStyle w:val="Footnote"/>
        <w:spacing w:before="120"/>
        <w:ind w:left="0" w:firstLine="0"/>
        <w:jc w:val="both"/>
        <w:rPr>
          <w:rFonts w:ascii="Calibri" w:hAnsi="Calibri" w:cs="Calibri"/>
          <w:sz w:val="24"/>
          <w:szCs w:val="24"/>
        </w:rPr>
      </w:pPr>
      <w:r w:rsidRPr="002E2AA3">
        <w:rPr>
          <w:rStyle w:val="DipnotKarakterleri"/>
          <w:rFonts w:ascii="Calibri" w:hAnsi="Calibri" w:cs="Calibri"/>
          <w:sz w:val="24"/>
          <w:szCs w:val="24"/>
        </w:rPr>
        <w:footnoteRef/>
      </w:r>
      <w:r w:rsidR="00300961">
        <w:rPr>
          <w:rFonts w:ascii="Calibri" w:hAnsi="Calibri" w:cs="Calibri"/>
          <w:i/>
          <w:iCs/>
          <w:sz w:val="24"/>
          <w:szCs w:val="24"/>
        </w:rPr>
        <w:t xml:space="preserve"> </w:t>
      </w:r>
      <w:r w:rsidRPr="002E2AA3">
        <w:rPr>
          <w:rFonts w:ascii="Calibri" w:hAnsi="Calibri" w:cs="Calibri"/>
          <w:i/>
          <w:iCs/>
          <w:sz w:val="24"/>
          <w:szCs w:val="24"/>
        </w:rPr>
        <w:t>(Farklı derslerde okunmuş farklı derlemelerin birleştirilmesiyle hazırlanmıştır.)</w:t>
      </w:r>
    </w:p>
  </w:footnote>
  <w:footnote w:id="3">
    <w:p w:rsidR="00942D86" w:rsidRPr="002E2AA3" w:rsidRDefault="00942D86" w:rsidP="008D58A6">
      <w:pPr>
        <w:pStyle w:val="FootnoteText"/>
        <w:spacing w:before="120"/>
        <w:jc w:val="both"/>
        <w:rPr>
          <w:sz w:val="24"/>
          <w:szCs w:val="24"/>
        </w:rPr>
      </w:pPr>
      <w:r w:rsidRPr="002E2AA3">
        <w:rPr>
          <w:rStyle w:val="FootnoteReference"/>
          <w:sz w:val="24"/>
          <w:szCs w:val="24"/>
        </w:rPr>
        <w:footnoteRef/>
      </w:r>
      <w:r w:rsidRPr="002E2AA3">
        <w:rPr>
          <w:sz w:val="24"/>
          <w:szCs w:val="24"/>
        </w:rPr>
        <w:t xml:space="preserve"> </w:t>
      </w:r>
      <w:r w:rsidRPr="002E2AA3">
        <w:rPr>
          <w:rFonts w:ascii="Calibri" w:hAnsi="Calibri" w:cs="Calibri"/>
          <w:i/>
          <w:iCs/>
          <w:sz w:val="24"/>
          <w:szCs w:val="24"/>
        </w:rPr>
        <w:t xml:space="preserve">(Bakınız: </w:t>
      </w:r>
      <w:r w:rsidRPr="002E2AA3">
        <w:rPr>
          <w:rFonts w:ascii="Calibri" w:hAnsi="Calibri" w:cs="Calibri"/>
          <w:i/>
          <w:iCs/>
          <w:sz w:val="24"/>
          <w:szCs w:val="24"/>
          <w:highlight w:val="yellow"/>
        </w:rPr>
        <w:t>İctihad İdadiyesi</w:t>
      </w:r>
      <w:r w:rsidRPr="002E2AA3">
        <w:rPr>
          <w:rFonts w:ascii="Calibri" w:hAnsi="Calibri" w:cs="Calibri"/>
          <w:i/>
          <w:iCs/>
          <w:sz w:val="24"/>
          <w:szCs w:val="24"/>
        </w:rPr>
        <w:t xml:space="preserve"> ve </w:t>
      </w:r>
      <w:r w:rsidRPr="002E2AA3">
        <w:rPr>
          <w:rFonts w:ascii="Calibri" w:hAnsi="Calibri" w:cs="Calibri"/>
          <w:i/>
          <w:iCs/>
          <w:sz w:val="24"/>
          <w:szCs w:val="24"/>
          <w:highlight w:val="yellow"/>
        </w:rPr>
        <w:t>Yirmiyedinci Söz’ün Tahşiyesi - İctihad Risalesi</w:t>
      </w:r>
      <w:r w:rsidRPr="002E2AA3">
        <w:rPr>
          <w:rFonts w:ascii="Calibri" w:hAnsi="Calibri" w:cs="Calibri"/>
          <w:i/>
          <w:iCs/>
          <w:sz w:val="24"/>
          <w:szCs w:val="24"/>
        </w:rPr>
        <w:t xml:space="preserve"> Derlemeleri ve İslam Prensipleri Ansiklopedisi </w:t>
      </w:r>
      <w:r w:rsidRPr="002E2AA3">
        <w:rPr>
          <w:rFonts w:ascii="Calibri" w:hAnsi="Calibri" w:cs="Calibri"/>
          <w:i/>
          <w:iCs/>
          <w:sz w:val="24"/>
          <w:szCs w:val="24"/>
          <w:highlight w:val="yellow"/>
        </w:rPr>
        <w:t>İctihad</w:t>
      </w:r>
      <w:r w:rsidRPr="002E2AA3">
        <w:rPr>
          <w:rFonts w:ascii="Calibri" w:hAnsi="Calibri" w:cs="Calibri"/>
          <w:i/>
          <w:iCs/>
          <w:sz w:val="24"/>
          <w:szCs w:val="24"/>
        </w:rPr>
        <w:t xml:space="preserve"> Maddesi)</w:t>
      </w:r>
      <w:r w:rsidR="002E2AA3" w:rsidRPr="002E2AA3">
        <w:rPr>
          <w:sz w:val="24"/>
          <w:szCs w:val="24"/>
        </w:rPr>
        <w:t xml:space="preserve"> </w:t>
      </w:r>
    </w:p>
  </w:footnote>
  <w:footnote w:id="4">
    <w:p w:rsidR="00300961" w:rsidRDefault="002E2AA3" w:rsidP="008D58A6">
      <w:pPr>
        <w:pStyle w:val="FootnoteText"/>
        <w:spacing w:before="120"/>
        <w:jc w:val="both"/>
        <w:rPr>
          <w:sz w:val="24"/>
          <w:szCs w:val="24"/>
        </w:rPr>
      </w:pPr>
      <w:r w:rsidRPr="002E2AA3">
        <w:rPr>
          <w:rStyle w:val="FootnoteReference"/>
          <w:sz w:val="24"/>
          <w:szCs w:val="24"/>
        </w:rPr>
        <w:footnoteRef/>
      </w:r>
      <w:r w:rsidRPr="002E2AA3">
        <w:rPr>
          <w:sz w:val="24"/>
          <w:szCs w:val="24"/>
        </w:rPr>
        <w:t xml:space="preserve"> </w:t>
      </w:r>
      <w:r w:rsidR="00300961">
        <w:rPr>
          <w:sz w:val="24"/>
          <w:szCs w:val="24"/>
        </w:rPr>
        <w:t>“</w:t>
      </w:r>
      <w:r w:rsidR="00300961" w:rsidRPr="00300961">
        <w:rPr>
          <w:sz w:val="24"/>
          <w:szCs w:val="24"/>
        </w:rPr>
        <w:t>namaz, zekat, orucun vücubu ve katl, zina ve şarabın haramiyeti gibi malûm o</w:t>
      </w:r>
      <w:r w:rsidR="00300961">
        <w:rPr>
          <w:sz w:val="24"/>
          <w:szCs w:val="24"/>
        </w:rPr>
        <w:t xml:space="preserve">lan ahkâm-ı kat'iyye-i İslâmiye…” </w:t>
      </w:r>
      <w:r w:rsidR="00300961" w:rsidRPr="00300961">
        <w:rPr>
          <w:b/>
          <w:bCs/>
          <w:sz w:val="24"/>
          <w:szCs w:val="24"/>
        </w:rPr>
        <w:t>Sözler (483</w:t>
      </w:r>
      <w:r w:rsidR="00300961" w:rsidRPr="00300961">
        <w:rPr>
          <w:b/>
          <w:bCs/>
          <w:sz w:val="24"/>
          <w:szCs w:val="24"/>
        </w:rPr>
        <w:t>)</w:t>
      </w:r>
    </w:p>
    <w:p w:rsidR="00300961" w:rsidRDefault="00300961" w:rsidP="008D58A6">
      <w:pPr>
        <w:pStyle w:val="FootnoteText"/>
        <w:spacing w:before="120"/>
        <w:jc w:val="both"/>
        <w:rPr>
          <w:b/>
          <w:bCs/>
          <w:sz w:val="24"/>
          <w:szCs w:val="24"/>
        </w:rPr>
      </w:pPr>
      <w:r>
        <w:rPr>
          <w:sz w:val="24"/>
          <w:szCs w:val="24"/>
        </w:rPr>
        <w:t>“</w:t>
      </w:r>
      <w:r w:rsidRPr="00300961">
        <w:rPr>
          <w:sz w:val="24"/>
          <w:szCs w:val="24"/>
        </w:rPr>
        <w:t>farz namaz gibi zaruriyat-ı diniyede</w:t>
      </w:r>
      <w:r>
        <w:rPr>
          <w:sz w:val="24"/>
          <w:szCs w:val="24"/>
        </w:rPr>
        <w:t xml:space="preserve">…” </w:t>
      </w:r>
      <w:r w:rsidRPr="00300961">
        <w:rPr>
          <w:b/>
          <w:bCs/>
          <w:sz w:val="24"/>
          <w:szCs w:val="24"/>
        </w:rPr>
        <w:t>Mesnevi-i Nuriye (</w:t>
      </w:r>
      <w:r w:rsidRPr="00300961">
        <w:rPr>
          <w:b/>
          <w:bCs/>
          <w:sz w:val="24"/>
          <w:szCs w:val="24"/>
        </w:rPr>
        <w:t>101)</w:t>
      </w:r>
    </w:p>
    <w:p w:rsidR="002E2AA3" w:rsidRPr="002E2AA3" w:rsidRDefault="00300961" w:rsidP="008D58A6">
      <w:pPr>
        <w:pStyle w:val="FootnoteText"/>
        <w:spacing w:before="120"/>
        <w:jc w:val="both"/>
        <w:rPr>
          <w:sz w:val="24"/>
          <w:szCs w:val="24"/>
        </w:rPr>
      </w:pPr>
      <w:r>
        <w:rPr>
          <w:b/>
          <w:bCs/>
          <w:sz w:val="24"/>
          <w:szCs w:val="24"/>
        </w:rPr>
        <w:t xml:space="preserve">Ayrıca </w:t>
      </w:r>
      <w:r w:rsidR="002E2AA3" w:rsidRPr="002E2AA3">
        <w:rPr>
          <w:rFonts w:ascii="Calibri" w:hAnsi="Calibri" w:cs="Calibri"/>
          <w:i/>
          <w:iCs/>
          <w:sz w:val="24"/>
          <w:szCs w:val="24"/>
        </w:rPr>
        <w:t xml:space="preserve">(Bakınız: </w:t>
      </w:r>
      <w:r w:rsidR="002E2AA3" w:rsidRPr="002E2AA3">
        <w:rPr>
          <w:rFonts w:ascii="Calibri" w:hAnsi="Calibri" w:cs="Calibri"/>
          <w:i/>
          <w:iCs/>
          <w:sz w:val="24"/>
          <w:szCs w:val="24"/>
          <w:highlight w:val="yellow"/>
        </w:rPr>
        <w:t>Zaruriyatta İçtihad Olamaz</w:t>
      </w:r>
      <w:r w:rsidR="002E2AA3" w:rsidRPr="002E2AA3">
        <w:rPr>
          <w:rFonts w:ascii="Calibri" w:hAnsi="Calibri" w:cs="Calibri"/>
          <w:i/>
          <w:iCs/>
          <w:sz w:val="24"/>
          <w:szCs w:val="24"/>
        </w:rPr>
        <w:t xml:space="preserve"> Derlemesi)</w:t>
      </w:r>
    </w:p>
  </w:footnote>
  <w:footnote w:id="5">
    <w:p w:rsidR="00002945" w:rsidRDefault="00002945" w:rsidP="008D58A6">
      <w:pPr>
        <w:pStyle w:val="FootnoteText"/>
        <w:spacing w:before="120"/>
        <w:jc w:val="both"/>
      </w:pPr>
      <w:r>
        <w:rPr>
          <w:rStyle w:val="FootnoteReference"/>
        </w:rPr>
        <w:footnoteRef/>
      </w:r>
      <w:r>
        <w:t xml:space="preserve"> </w:t>
      </w:r>
      <w:r w:rsidRPr="002E2AA3">
        <w:rPr>
          <w:rFonts w:ascii="Calibri" w:hAnsi="Calibri" w:cs="Calibri"/>
          <w:i/>
          <w:iCs/>
          <w:sz w:val="24"/>
          <w:szCs w:val="24"/>
        </w:rPr>
        <w:t xml:space="preserve">(Bakınız: </w:t>
      </w:r>
      <w:r w:rsidRPr="00002945">
        <w:rPr>
          <w:rFonts w:ascii="Calibri" w:hAnsi="Calibri" w:cs="Calibri"/>
          <w:i/>
          <w:iCs/>
          <w:sz w:val="24"/>
          <w:szCs w:val="24"/>
          <w:highlight w:val="yellow"/>
        </w:rPr>
        <w:t>Bid’aların Felâketi</w:t>
      </w:r>
      <w:r>
        <w:rPr>
          <w:rFonts w:ascii="Calibri" w:hAnsi="Calibri" w:cs="Calibri"/>
          <w:i/>
          <w:iCs/>
          <w:sz w:val="24"/>
          <w:szCs w:val="24"/>
        </w:rPr>
        <w:t xml:space="preserve"> </w:t>
      </w:r>
      <w:r w:rsidRPr="002E2AA3">
        <w:rPr>
          <w:rFonts w:ascii="Calibri" w:hAnsi="Calibri" w:cs="Calibri"/>
          <w:i/>
          <w:iCs/>
          <w:sz w:val="24"/>
          <w:szCs w:val="24"/>
        </w:rPr>
        <w:t>Derlemesi</w:t>
      </w:r>
      <w:r w:rsidR="00F34A8D" w:rsidRPr="00F34A8D">
        <w:rPr>
          <w:rFonts w:ascii="Calibri" w:hAnsi="Calibri" w:cs="Calibri"/>
          <w:i/>
          <w:iCs/>
          <w:sz w:val="24"/>
          <w:szCs w:val="24"/>
        </w:rPr>
        <w:t xml:space="preserve"> </w:t>
      </w:r>
      <w:r w:rsidR="00F34A8D" w:rsidRPr="002E2AA3">
        <w:rPr>
          <w:rFonts w:ascii="Calibri" w:hAnsi="Calibri" w:cs="Calibri"/>
          <w:i/>
          <w:iCs/>
          <w:sz w:val="24"/>
          <w:szCs w:val="24"/>
        </w:rPr>
        <w:t xml:space="preserve">ve İslam Prensipleri Ansiklopedisi </w:t>
      </w:r>
      <w:r w:rsidR="00F34A8D" w:rsidRPr="00F34A8D">
        <w:rPr>
          <w:rFonts w:ascii="Calibri" w:hAnsi="Calibri" w:cs="Calibri"/>
          <w:i/>
          <w:iCs/>
          <w:sz w:val="24"/>
          <w:szCs w:val="24"/>
          <w:highlight w:val="yellow"/>
        </w:rPr>
        <w:t>Bid’at</w:t>
      </w:r>
      <w:r w:rsidR="00F34A8D" w:rsidRPr="002E2AA3">
        <w:rPr>
          <w:rFonts w:ascii="Calibri" w:hAnsi="Calibri" w:cs="Calibri"/>
          <w:i/>
          <w:iCs/>
          <w:sz w:val="24"/>
          <w:szCs w:val="24"/>
        </w:rPr>
        <w:t xml:space="preserve"> Maddesi)</w:t>
      </w:r>
    </w:p>
  </w:footnote>
  <w:footnote w:id="6">
    <w:p w:rsidR="003F4F7D" w:rsidRDefault="003F4F7D" w:rsidP="008D58A6">
      <w:pPr>
        <w:pStyle w:val="FootnoteText"/>
        <w:spacing w:before="120"/>
      </w:pPr>
      <w:r>
        <w:rPr>
          <w:rStyle w:val="FootnoteReference"/>
        </w:rPr>
        <w:footnoteRef/>
      </w:r>
      <w:r>
        <w:t xml:space="preserve"> </w:t>
      </w:r>
      <w:r w:rsidRPr="002E2AA3">
        <w:rPr>
          <w:rFonts w:ascii="Calibri" w:hAnsi="Calibri" w:cs="Calibri"/>
          <w:i/>
          <w:iCs/>
          <w:sz w:val="24"/>
          <w:szCs w:val="24"/>
        </w:rPr>
        <w:t xml:space="preserve">(Bakınız: </w:t>
      </w:r>
      <w:r w:rsidRPr="003F4F7D">
        <w:rPr>
          <w:rFonts w:ascii="Calibri" w:hAnsi="Calibri" w:cs="Calibri"/>
          <w:i/>
          <w:iCs/>
          <w:sz w:val="24"/>
          <w:szCs w:val="24"/>
          <w:highlight w:val="yellow"/>
        </w:rPr>
        <w:t>Felsefe</w:t>
      </w:r>
      <w:r>
        <w:rPr>
          <w:rFonts w:ascii="Calibri" w:hAnsi="Calibri" w:cs="Calibri"/>
          <w:i/>
          <w:iCs/>
          <w:sz w:val="24"/>
          <w:szCs w:val="24"/>
        </w:rPr>
        <w:t xml:space="preserve"> </w:t>
      </w:r>
      <w:r w:rsidRPr="002E2AA3">
        <w:rPr>
          <w:rFonts w:ascii="Calibri" w:hAnsi="Calibri" w:cs="Calibri"/>
          <w:i/>
          <w:iCs/>
          <w:sz w:val="24"/>
          <w:szCs w:val="24"/>
        </w:rPr>
        <w:t>Derlemesi)</w:t>
      </w:r>
    </w:p>
  </w:footnote>
  <w:footnote w:id="7">
    <w:p w:rsidR="00300961" w:rsidRDefault="00300961" w:rsidP="008D58A6">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300961">
        <w:rPr>
          <w:rFonts w:ascii="Calibri" w:hAnsi="Calibri" w:cs="Calibri"/>
          <w:sz w:val="24"/>
          <w:szCs w:val="24"/>
        </w:rPr>
        <w:t xml:space="preserve">Evet </w:t>
      </w:r>
      <w:r w:rsidRPr="00300961">
        <w:rPr>
          <w:rFonts w:ascii="Calibri" w:hAnsi="Calibri" w:cs="Calibri"/>
          <w:color w:val="FF0000"/>
          <w:sz w:val="28"/>
          <w:szCs w:val="28"/>
          <w:rtl/>
        </w:rPr>
        <w:t>يَسْتَحِبُّونَ الْحَيٰوةَ الدُّنْيَا عَلَى اْلآخِرَةِ</w:t>
      </w:r>
      <w:r w:rsidRPr="00300961">
        <w:rPr>
          <w:rFonts w:ascii="Calibri" w:hAnsi="Calibri" w:cs="Calibri"/>
          <w:sz w:val="24"/>
          <w:szCs w:val="24"/>
        </w:rPr>
        <w:t xml:space="preserve"> işaretiyle bu asır, hayat-ı dünyeviyeyi hayat-ı uhreviyeye, ehl-i İslâm'a da </w:t>
      </w:r>
      <w:r>
        <w:rPr>
          <w:rFonts w:ascii="Calibri" w:hAnsi="Calibri" w:cs="Calibri"/>
          <w:sz w:val="24"/>
          <w:szCs w:val="24"/>
        </w:rPr>
        <w:t xml:space="preserve">bilerek severek tercih ettirdi.” </w:t>
      </w:r>
      <w:r w:rsidRPr="00300961">
        <w:rPr>
          <w:rFonts w:ascii="Calibri" w:hAnsi="Calibri" w:cs="Calibri"/>
          <w:b/>
          <w:bCs/>
          <w:sz w:val="24"/>
          <w:szCs w:val="24"/>
        </w:rPr>
        <w:t>Kastamonu Lahikası (</w:t>
      </w:r>
      <w:r w:rsidRPr="00300961">
        <w:rPr>
          <w:rFonts w:ascii="Calibri" w:hAnsi="Calibri" w:cs="Calibri"/>
          <w:b/>
          <w:bCs/>
          <w:sz w:val="24"/>
          <w:szCs w:val="24"/>
        </w:rPr>
        <w:t>110)</w:t>
      </w:r>
    </w:p>
    <w:p w:rsidR="00300961" w:rsidRDefault="00300961" w:rsidP="008D58A6">
      <w:pPr>
        <w:spacing w:before="120" w:after="0" w:line="240" w:lineRule="auto"/>
        <w:jc w:val="both"/>
        <w:rPr>
          <w:rFonts w:ascii="Calibri" w:hAnsi="Calibri" w:cs="Calibri"/>
          <w:b/>
          <w:bCs/>
          <w:sz w:val="24"/>
          <w:szCs w:val="24"/>
        </w:rPr>
      </w:pPr>
      <w:r w:rsidRPr="00300961">
        <w:rPr>
          <w:rFonts w:ascii="Calibri" w:hAnsi="Calibri" w:cs="Calibri"/>
          <w:sz w:val="24"/>
          <w:szCs w:val="24"/>
        </w:rPr>
        <w:t>“</w:t>
      </w:r>
      <w:r w:rsidRPr="00300961">
        <w:rPr>
          <w:rFonts w:ascii="Calibri" w:hAnsi="Calibri" w:cs="Calibri"/>
          <w:sz w:val="24"/>
          <w:szCs w:val="24"/>
        </w:rPr>
        <w:t>şimdiki hal-i âlem hayat-ı dünyeviyeyi hususan hayat-ı içtimaiyeyi ve bilhâssa hayat-ı siyasiyeyi ve bilhâssa medeniyetin sefahet ve dalaletine ceza olarak gelen gazab-ı İlahînin bir cilvesi olan harb-i umumînin tarafgirane, damarları ve a'sabları tehyic edip bâtın-ı kalbe kadar, hattâ hakaik-i imaniyenin elmasları derecesine o zararlı, fâni arzuları yerleştirecek derecesinde bu meş'um asır öyle şırınga etmiş ve ediyor ve öyle aşılamış ve aşılıyor ki; Risale-i Nur dairesi haricinde bulunan ülemalar, belki de veliler; o siyasî ve içtimaî hayatın rabıtaları sebebiyle, hakaik-i imaniyenin hükmünü ikinci, üçüncü derecede bırakıp, o cereyanların hükmüne tâbi' olarak hemfikri olan münafıkları sever, kendine muhalif olan ehl-i hakikatı belki ehl-i velayeti tenkid ve adavet eder, hattâ hissiyat-ı diniyeyi o cereyanlara tâbi' yaparlar.</w:t>
      </w:r>
      <w:r>
        <w:rPr>
          <w:rFonts w:ascii="Calibri" w:hAnsi="Calibri" w:cs="Calibri"/>
          <w:sz w:val="24"/>
          <w:szCs w:val="24"/>
        </w:rPr>
        <w:t xml:space="preserve">” </w:t>
      </w:r>
      <w:r w:rsidR="003F4F7D">
        <w:rPr>
          <w:rFonts w:ascii="Calibri" w:hAnsi="Calibri" w:cs="Calibri"/>
          <w:b/>
          <w:bCs/>
          <w:sz w:val="24"/>
          <w:szCs w:val="24"/>
        </w:rPr>
        <w:t>Kastamonu Lahikası (</w:t>
      </w:r>
      <w:r w:rsidRPr="00300961">
        <w:rPr>
          <w:rFonts w:ascii="Calibri" w:hAnsi="Calibri" w:cs="Calibri"/>
          <w:b/>
          <w:bCs/>
          <w:sz w:val="24"/>
          <w:szCs w:val="24"/>
        </w:rPr>
        <w:t>118)</w:t>
      </w:r>
    </w:p>
    <w:p w:rsidR="003F4F7D" w:rsidRDefault="003F4F7D" w:rsidP="008D58A6">
      <w:pPr>
        <w:spacing w:before="120" w:after="0" w:line="240" w:lineRule="auto"/>
        <w:jc w:val="both"/>
        <w:rPr>
          <w:rFonts w:ascii="Calibri" w:hAnsi="Calibri" w:cs="Calibri"/>
          <w:b/>
          <w:bCs/>
          <w:sz w:val="24"/>
          <w:szCs w:val="24"/>
        </w:rPr>
      </w:pPr>
      <w:r w:rsidRPr="003F4F7D">
        <w:rPr>
          <w:rFonts w:ascii="Calibri" w:hAnsi="Calibri" w:cs="Calibri"/>
          <w:sz w:val="24"/>
          <w:szCs w:val="24"/>
        </w:rPr>
        <w:t>“</w:t>
      </w:r>
      <w:r w:rsidRPr="003F4F7D">
        <w:rPr>
          <w:rFonts w:ascii="Calibri" w:hAnsi="Calibri" w:cs="Calibri"/>
          <w:sz w:val="24"/>
          <w:szCs w:val="24"/>
        </w:rPr>
        <w:t>Evet bu asırda, bir-iki mektubda beyan edildiği gibi, o derece hayat-ı dünyeviye damarına dokunmuş ve yaralamış ve heyecana getirmiş ki; mübarek ve ihtiyar ve hoca ve ehl-i salahat olan bir zât dahi, dünyada bir nevi hayat-ı uhreviye ezvakını istiyor; birinci derecede, dünyada zevk-i hayat onda hükmediyor.</w:t>
      </w:r>
      <w:r>
        <w:rPr>
          <w:rFonts w:ascii="Calibri" w:hAnsi="Calibri" w:cs="Calibri"/>
          <w:sz w:val="24"/>
          <w:szCs w:val="24"/>
        </w:rPr>
        <w:t xml:space="preserve">” </w:t>
      </w:r>
      <w:r w:rsidRPr="003F4F7D">
        <w:rPr>
          <w:rFonts w:ascii="Calibri" w:hAnsi="Calibri" w:cs="Calibri"/>
          <w:b/>
          <w:bCs/>
          <w:sz w:val="24"/>
          <w:szCs w:val="24"/>
        </w:rPr>
        <w:t>Kastamonu Lahikası (134)</w:t>
      </w:r>
    </w:p>
    <w:p w:rsidR="003F4F7D" w:rsidRPr="003F4F7D" w:rsidRDefault="003F4F7D" w:rsidP="008D58A6">
      <w:pPr>
        <w:spacing w:before="120" w:after="0" w:line="240" w:lineRule="auto"/>
        <w:jc w:val="both"/>
        <w:rPr>
          <w:rFonts w:ascii="Calibri" w:hAnsi="Calibri" w:cs="Calibri"/>
          <w:sz w:val="24"/>
          <w:szCs w:val="24"/>
        </w:rPr>
      </w:pPr>
      <w:r w:rsidRPr="003F4F7D">
        <w:rPr>
          <w:rFonts w:ascii="Calibri" w:hAnsi="Calibri" w:cs="Calibri"/>
          <w:sz w:val="24"/>
          <w:szCs w:val="24"/>
        </w:rPr>
        <w:t>"O bedbahtlar, bazı ehl-i imanın (imanları beraber olduğu halde) ve bir kısım ehl-i ilmin (âhireti tam bildikleri halde) onlara iltihak delaletiyle, bilerek ve severek hayat-ı dünyeviyeyi dine ve âhirete, yani elması tanıdığı ve bulduğu halde beş paralık şişeyi ona tercih etmek gibi; sefahet-i hayatı, dinî hissiyata muannidane tercih edip dinsizlik ile iftihar ederler." Bu cümlenin bu asra bir hususiyeti var. Çünki hiçbir asır böyle bir tarzı göstermemiş. Sair asırlarda o ehl-i dalalet âhireti bilmiyor ve inkâr ediyor. Elması elmas bilmiyor, dünyayı tercih ediyor.</w:t>
      </w:r>
    </w:p>
    <w:p w:rsidR="003F4F7D" w:rsidRPr="003F4F7D" w:rsidRDefault="003F4F7D" w:rsidP="008D58A6">
      <w:pPr>
        <w:spacing w:before="120" w:after="0" w:line="240" w:lineRule="auto"/>
        <w:jc w:val="both"/>
        <w:rPr>
          <w:rFonts w:ascii="Calibri" w:hAnsi="Calibri" w:cs="Calibri"/>
          <w:sz w:val="24"/>
          <w:szCs w:val="24"/>
        </w:rPr>
      </w:pPr>
      <w:r w:rsidRPr="003F4F7D">
        <w:rPr>
          <w:rFonts w:ascii="Calibri" w:hAnsi="Calibri" w:cs="Calibri"/>
          <w:sz w:val="24"/>
          <w:szCs w:val="24"/>
        </w:rPr>
        <w:t xml:space="preserve">Ve ikinci cümlesi olan </w:t>
      </w:r>
      <w:r w:rsidRPr="003F4F7D">
        <w:rPr>
          <w:rFonts w:ascii="Calibri" w:hAnsi="Calibri" w:cs="Calibri"/>
          <w:color w:val="FF0000"/>
          <w:sz w:val="28"/>
          <w:szCs w:val="28"/>
          <w:rtl/>
        </w:rPr>
        <w:t>وَ يَصُدُّونَ عَنْ سَبِيلِ اللّٰهِ</w:t>
      </w:r>
      <w:r w:rsidRPr="003F4F7D">
        <w:rPr>
          <w:rFonts w:ascii="Calibri" w:hAnsi="Calibri" w:cs="Calibri"/>
          <w:color w:val="FF0000"/>
          <w:sz w:val="28"/>
          <w:szCs w:val="28"/>
        </w:rPr>
        <w:t xml:space="preserve"> </w:t>
      </w:r>
      <w:r w:rsidRPr="003F4F7D">
        <w:rPr>
          <w:rFonts w:ascii="Calibri" w:hAnsi="Calibri" w:cs="Calibri"/>
          <w:sz w:val="24"/>
          <w:szCs w:val="24"/>
        </w:rPr>
        <w:t>ile der ki: "O bedbahtların dalaleti, muhabbet-i hayattan ve temerrüdden neş'et ettiği için kendi halleri ile durmuyorlar, tecavüz ediyorlar. Bildikleri ve onun ile ecdadları bağlı olan dine adavetkârane, menbalarını kurutmak ve esasatını bozmak ve kapılarını ve yollarını kapatmak istiyorlar."</w:t>
      </w:r>
    </w:p>
    <w:p w:rsidR="00300961" w:rsidRDefault="003F4F7D" w:rsidP="008D58A6">
      <w:pPr>
        <w:spacing w:before="120" w:after="0" w:line="240" w:lineRule="auto"/>
        <w:jc w:val="both"/>
        <w:rPr>
          <w:rFonts w:ascii="Calibri" w:hAnsi="Calibri" w:cs="Calibri"/>
          <w:b/>
          <w:bCs/>
          <w:sz w:val="24"/>
          <w:szCs w:val="24"/>
        </w:rPr>
      </w:pPr>
      <w:r w:rsidRPr="003F4F7D">
        <w:rPr>
          <w:rFonts w:ascii="Calibri" w:hAnsi="Calibri" w:cs="Calibri"/>
          <w:sz w:val="24"/>
          <w:szCs w:val="24"/>
        </w:rPr>
        <w:t xml:space="preserve">Ve üçüncü cümlesi olan </w:t>
      </w:r>
      <w:r w:rsidRPr="003F4F7D">
        <w:rPr>
          <w:rFonts w:ascii="Calibri" w:hAnsi="Calibri" w:cs="Calibri"/>
          <w:color w:val="FF0000"/>
          <w:sz w:val="28"/>
          <w:szCs w:val="28"/>
          <w:rtl/>
        </w:rPr>
        <w:t>وَ يَبْغُونَهَا عِوَجًا</w:t>
      </w:r>
      <w:r w:rsidRPr="003F4F7D">
        <w:rPr>
          <w:rFonts w:ascii="Calibri" w:hAnsi="Calibri" w:cs="Calibri"/>
          <w:sz w:val="24"/>
          <w:szCs w:val="24"/>
        </w:rPr>
        <w:t xml:space="preserve"> ile der ki: "Onların dalaleti fenden, felsefeden geldiği için acib bir gurur ve garib bir firavunluk ve dehşetli bir enaniyet onlara verip nefislerini öyle şımartmış ki, kâinatı idare eden İlahî kanunların şualarını ve insan âleminde o hakaikin düsturlarını süflî hevesatlarına</w:t>
      </w:r>
      <w:r>
        <w:rPr>
          <w:rFonts w:ascii="Calibri" w:hAnsi="Calibri" w:cs="Calibri"/>
          <w:sz w:val="24"/>
          <w:szCs w:val="24"/>
        </w:rPr>
        <w:t xml:space="preserve"> </w:t>
      </w:r>
      <w:r w:rsidRPr="003F4F7D">
        <w:rPr>
          <w:rFonts w:ascii="Calibri" w:hAnsi="Calibri" w:cs="Calibri"/>
          <w:sz w:val="24"/>
          <w:szCs w:val="24"/>
        </w:rPr>
        <w:t>ve müştehiyatlarına müsaid görmediklerinden (hâşâ! hâşâ!) eğri, yanlış, noksan bulmak istiyorlar."</w:t>
      </w:r>
      <w:r>
        <w:rPr>
          <w:rFonts w:ascii="Calibri" w:hAnsi="Calibri" w:cs="Calibri"/>
          <w:sz w:val="24"/>
          <w:szCs w:val="24"/>
        </w:rPr>
        <w:t xml:space="preserve"> </w:t>
      </w:r>
      <w:r>
        <w:rPr>
          <w:rFonts w:ascii="Calibri" w:hAnsi="Calibri" w:cs="Calibri"/>
          <w:b/>
          <w:bCs/>
          <w:sz w:val="24"/>
          <w:szCs w:val="24"/>
        </w:rPr>
        <w:t>Şualar (</w:t>
      </w:r>
      <w:r w:rsidRPr="003F4F7D">
        <w:rPr>
          <w:rFonts w:ascii="Calibri" w:hAnsi="Calibri" w:cs="Calibri"/>
          <w:b/>
          <w:bCs/>
          <w:sz w:val="24"/>
          <w:szCs w:val="24"/>
        </w:rPr>
        <w:t>724)</w:t>
      </w:r>
    </w:p>
    <w:p w:rsidR="003F4F7D" w:rsidRPr="00F34A8D" w:rsidRDefault="003F4F7D" w:rsidP="008D58A6">
      <w:pPr>
        <w:spacing w:before="120" w:after="0" w:line="240" w:lineRule="auto"/>
        <w:jc w:val="both"/>
        <w:rPr>
          <w:rFonts w:ascii="Calibri" w:hAnsi="Calibri" w:cs="Calibri"/>
          <w:sz w:val="24"/>
          <w:szCs w:val="24"/>
        </w:rPr>
      </w:pPr>
      <w:r w:rsidRPr="00F34A8D">
        <w:rPr>
          <w:rFonts w:ascii="Calibri" w:hAnsi="Calibri" w:cs="Calibri"/>
          <w:b/>
          <w:bCs/>
          <w:sz w:val="24"/>
          <w:szCs w:val="24"/>
        </w:rPr>
        <w:t xml:space="preserve">Ayrıca </w:t>
      </w:r>
      <w:r w:rsidRPr="00F34A8D">
        <w:rPr>
          <w:rFonts w:ascii="Calibri" w:hAnsi="Calibri" w:cs="Calibri"/>
          <w:i/>
          <w:iCs/>
          <w:sz w:val="24"/>
          <w:szCs w:val="24"/>
        </w:rPr>
        <w:t xml:space="preserve">(Bakınız: </w:t>
      </w:r>
      <w:r w:rsidRPr="00F34A8D">
        <w:rPr>
          <w:rFonts w:ascii="Calibri" w:hAnsi="Calibri" w:cs="Calibri"/>
          <w:i/>
          <w:iCs/>
          <w:sz w:val="24"/>
          <w:szCs w:val="24"/>
          <w:highlight w:val="yellow"/>
        </w:rPr>
        <w:t>Bu Zaman</w:t>
      </w:r>
      <w:r w:rsidRPr="00F34A8D">
        <w:rPr>
          <w:rFonts w:ascii="Calibri" w:hAnsi="Calibri" w:cs="Calibri"/>
          <w:i/>
          <w:iCs/>
          <w:sz w:val="24"/>
          <w:szCs w:val="24"/>
        </w:rPr>
        <w:t xml:space="preserve"> ve </w:t>
      </w:r>
      <w:r w:rsidRPr="00F34A8D">
        <w:rPr>
          <w:rFonts w:ascii="Calibri" w:hAnsi="Calibri" w:cs="Calibri"/>
          <w:i/>
          <w:iCs/>
          <w:sz w:val="24"/>
          <w:szCs w:val="24"/>
          <w:highlight w:val="yellow"/>
        </w:rPr>
        <w:t>Asr-Asır</w:t>
      </w:r>
      <w:r w:rsidRPr="00F34A8D">
        <w:rPr>
          <w:rFonts w:ascii="Calibri" w:hAnsi="Calibri" w:cs="Calibri"/>
          <w:i/>
          <w:iCs/>
          <w:sz w:val="24"/>
          <w:szCs w:val="24"/>
        </w:rPr>
        <w:t xml:space="preserve"> Derlemeleri)</w:t>
      </w:r>
      <w:r w:rsidR="00F34A8D" w:rsidRPr="00F34A8D">
        <w:rPr>
          <w:rFonts w:ascii="Calibri" w:hAnsi="Calibri" w:cs="Calibri"/>
          <w:sz w:val="24"/>
          <w:szCs w:val="24"/>
        </w:rPr>
        <w:t xml:space="preserve"> </w:t>
      </w:r>
    </w:p>
  </w:footnote>
  <w:footnote w:id="8">
    <w:p w:rsidR="003F4F7D" w:rsidRPr="00F34A8D" w:rsidRDefault="003F4F7D" w:rsidP="008D58A6">
      <w:pPr>
        <w:spacing w:before="120" w:after="0" w:line="240" w:lineRule="auto"/>
        <w:jc w:val="both"/>
        <w:rPr>
          <w:rFonts w:ascii="Calibri" w:hAnsi="Calibri" w:cs="Calibri"/>
          <w:sz w:val="24"/>
          <w:szCs w:val="24"/>
        </w:rPr>
      </w:pPr>
      <w:r>
        <w:rPr>
          <w:rStyle w:val="FootnoteReference"/>
        </w:rPr>
        <w:footnoteRef/>
      </w:r>
      <w:r>
        <w:t xml:space="preserve"> </w:t>
      </w:r>
      <w:r w:rsidR="00F34A8D" w:rsidRPr="00F34A8D">
        <w:rPr>
          <w:rFonts w:ascii="Calibri" w:hAnsi="Calibri" w:cs="Calibri"/>
          <w:i/>
          <w:iCs/>
          <w:sz w:val="24"/>
          <w:szCs w:val="24"/>
        </w:rPr>
        <w:t xml:space="preserve">(Bakınız: </w:t>
      </w:r>
      <w:r w:rsidR="00F34A8D" w:rsidRPr="00F34A8D">
        <w:rPr>
          <w:rFonts w:ascii="Calibri" w:hAnsi="Calibri" w:cs="Calibri"/>
          <w:i/>
          <w:iCs/>
          <w:sz w:val="24"/>
          <w:szCs w:val="24"/>
          <w:highlight w:val="yellow"/>
        </w:rPr>
        <w:t>Nakli Delillere Teslimiyet Esastır</w:t>
      </w:r>
      <w:r w:rsidR="00F34A8D" w:rsidRPr="00F34A8D">
        <w:rPr>
          <w:rFonts w:ascii="Calibri" w:hAnsi="Calibri" w:cs="Calibri"/>
          <w:i/>
          <w:iCs/>
          <w:sz w:val="24"/>
          <w:szCs w:val="24"/>
        </w:rPr>
        <w:t xml:space="preserve">, </w:t>
      </w:r>
      <w:r w:rsidR="00F34A8D" w:rsidRPr="00F34A8D">
        <w:rPr>
          <w:rFonts w:ascii="Calibri" w:hAnsi="Calibri" w:cs="Calibri"/>
          <w:i/>
          <w:iCs/>
          <w:sz w:val="24"/>
          <w:szCs w:val="24"/>
          <w:highlight w:val="yellow"/>
        </w:rPr>
        <w:t>Zahir-i Şeriata Muhalefet Edilmez</w:t>
      </w:r>
      <w:r w:rsidR="00F34A8D">
        <w:rPr>
          <w:rFonts w:ascii="Calibri" w:hAnsi="Calibri" w:cs="Calibri"/>
          <w:i/>
          <w:iCs/>
          <w:sz w:val="24"/>
          <w:szCs w:val="24"/>
        </w:rPr>
        <w:t xml:space="preserve"> v</w:t>
      </w:r>
      <w:r w:rsidR="00F34A8D" w:rsidRPr="00F34A8D">
        <w:rPr>
          <w:rFonts w:ascii="Calibri" w:hAnsi="Calibri" w:cs="Calibri"/>
          <w:i/>
          <w:iCs/>
          <w:sz w:val="24"/>
          <w:szCs w:val="24"/>
        </w:rPr>
        <w:t xml:space="preserve">e </w:t>
      </w:r>
      <w:r w:rsidR="00F34A8D" w:rsidRPr="00F34A8D">
        <w:rPr>
          <w:rFonts w:ascii="Calibri" w:hAnsi="Calibri" w:cs="Calibri"/>
          <w:i/>
          <w:iCs/>
          <w:sz w:val="24"/>
          <w:szCs w:val="24"/>
          <w:highlight w:val="yellow"/>
        </w:rPr>
        <w:t>Sarih Beyanların Hükümlerinde Te’vil Yapılamaz</w:t>
      </w:r>
      <w:r w:rsidR="00F34A8D">
        <w:rPr>
          <w:rFonts w:ascii="Calibri" w:hAnsi="Calibri" w:cs="Calibri"/>
          <w:i/>
          <w:iCs/>
          <w:sz w:val="24"/>
          <w:szCs w:val="24"/>
        </w:rPr>
        <w:t xml:space="preserve"> </w:t>
      </w:r>
      <w:r w:rsidR="00F34A8D" w:rsidRPr="00F34A8D">
        <w:rPr>
          <w:rFonts w:ascii="Calibri" w:hAnsi="Calibri" w:cs="Calibri"/>
          <w:i/>
          <w:iCs/>
          <w:sz w:val="24"/>
          <w:szCs w:val="24"/>
        </w:rPr>
        <w:t>Derlemeleri)</w:t>
      </w:r>
    </w:p>
  </w:footnote>
  <w:footnote w:id="9">
    <w:p w:rsidR="008D58A6" w:rsidRDefault="008D58A6" w:rsidP="008D58A6">
      <w:pPr>
        <w:pStyle w:val="FootnoteText"/>
        <w:spacing w:before="120"/>
      </w:pPr>
      <w:r>
        <w:rPr>
          <w:rStyle w:val="FootnoteReference"/>
        </w:rPr>
        <w:footnoteRef/>
      </w:r>
      <w:r>
        <w:t xml:space="preserve"> </w:t>
      </w:r>
      <w:r w:rsidRPr="00F34A8D">
        <w:rPr>
          <w:rFonts w:ascii="Calibri" w:hAnsi="Calibri" w:cs="Calibri"/>
          <w:i/>
          <w:iCs/>
          <w:sz w:val="24"/>
          <w:szCs w:val="24"/>
        </w:rPr>
        <w:t xml:space="preserve">(Bakınız: </w:t>
      </w:r>
      <w:r w:rsidRPr="008D58A6">
        <w:rPr>
          <w:rFonts w:ascii="Calibri" w:hAnsi="Calibri" w:cs="Calibri"/>
          <w:i/>
          <w:iCs/>
          <w:sz w:val="24"/>
          <w:szCs w:val="24"/>
          <w:highlight w:val="yellow"/>
        </w:rPr>
        <w:t>Siyaset</w:t>
      </w:r>
      <w:r>
        <w:rPr>
          <w:rFonts w:ascii="Calibri" w:hAnsi="Calibri" w:cs="Calibri"/>
          <w:i/>
          <w:iCs/>
          <w:sz w:val="24"/>
          <w:szCs w:val="24"/>
        </w:rPr>
        <w:t xml:space="preserve"> </w:t>
      </w:r>
      <w:r w:rsidRPr="00F34A8D">
        <w:rPr>
          <w:rFonts w:ascii="Calibri" w:hAnsi="Calibri" w:cs="Calibri"/>
          <w:i/>
          <w:iCs/>
          <w:sz w:val="24"/>
          <w:szCs w:val="24"/>
        </w:rPr>
        <w:t>Derleme</w:t>
      </w:r>
      <w:r>
        <w:rPr>
          <w:rFonts w:ascii="Calibri" w:hAnsi="Calibri" w:cs="Calibri"/>
          <w:i/>
          <w:iCs/>
          <w:sz w:val="24"/>
          <w:szCs w:val="24"/>
        </w:rPr>
        <w:t>si</w:t>
      </w:r>
      <w:r w:rsidRPr="00F34A8D">
        <w:rPr>
          <w:rFonts w:ascii="Calibri" w:hAnsi="Calibri" w:cs="Calibri"/>
          <w:i/>
          <w:iCs/>
          <w:sz w:val="24"/>
          <w:szCs w:val="24"/>
        </w:rPr>
        <w:t>)</w:t>
      </w:r>
    </w:p>
  </w:footnote>
  <w:footnote w:id="10">
    <w:p w:rsidR="008D58A6" w:rsidRDefault="008D58A6" w:rsidP="008D58A6">
      <w:pPr>
        <w:pStyle w:val="FootnoteText"/>
        <w:spacing w:before="120"/>
      </w:pPr>
      <w:r>
        <w:rPr>
          <w:rStyle w:val="FootnoteReference"/>
        </w:rPr>
        <w:footnoteRef/>
      </w:r>
      <w:r>
        <w:t xml:space="preserve"> </w:t>
      </w:r>
      <w:r w:rsidRPr="00F34A8D">
        <w:rPr>
          <w:rFonts w:ascii="Calibri" w:hAnsi="Calibri" w:cs="Calibri"/>
          <w:i/>
          <w:iCs/>
          <w:sz w:val="24"/>
          <w:szCs w:val="24"/>
        </w:rPr>
        <w:t xml:space="preserve">(Bakınız: </w:t>
      </w:r>
      <w:r w:rsidRPr="008D58A6">
        <w:rPr>
          <w:rFonts w:ascii="Calibri" w:hAnsi="Calibri" w:cs="Calibri"/>
          <w:i/>
          <w:iCs/>
          <w:sz w:val="24"/>
          <w:szCs w:val="24"/>
          <w:highlight w:val="yellow"/>
        </w:rPr>
        <w:t>Avam</w:t>
      </w:r>
      <w:r w:rsidRPr="008D58A6">
        <w:rPr>
          <w:rFonts w:ascii="Calibri" w:hAnsi="Calibri" w:cs="Calibri"/>
          <w:i/>
          <w:iCs/>
          <w:sz w:val="24"/>
          <w:szCs w:val="24"/>
        </w:rPr>
        <w:t xml:space="preserve"> </w:t>
      </w:r>
      <w:r w:rsidRPr="00F34A8D">
        <w:rPr>
          <w:rFonts w:ascii="Calibri" w:hAnsi="Calibri" w:cs="Calibri"/>
          <w:i/>
          <w:iCs/>
          <w:sz w:val="24"/>
          <w:szCs w:val="24"/>
        </w:rPr>
        <w:t>Derleme</w:t>
      </w:r>
      <w:r>
        <w:rPr>
          <w:rFonts w:ascii="Calibri" w:hAnsi="Calibri" w:cs="Calibri"/>
          <w:i/>
          <w:iCs/>
          <w:sz w:val="24"/>
          <w:szCs w:val="24"/>
        </w:rPr>
        <w:t>si</w:t>
      </w:r>
      <w:r w:rsidRPr="00F34A8D">
        <w:rPr>
          <w:rFonts w:ascii="Calibri" w:hAnsi="Calibri" w:cs="Calibri"/>
          <w:i/>
          <w:i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42D86"/>
    <w:rsid w:val="00002945"/>
    <w:rsid w:val="002E2AA3"/>
    <w:rsid w:val="00300961"/>
    <w:rsid w:val="003F4F7D"/>
    <w:rsid w:val="004F3FB6"/>
    <w:rsid w:val="0069323D"/>
    <w:rsid w:val="008B74FC"/>
    <w:rsid w:val="008D58A6"/>
    <w:rsid w:val="0093520B"/>
    <w:rsid w:val="00942D86"/>
    <w:rsid w:val="00A665BC"/>
    <w:rsid w:val="00C765D6"/>
    <w:rsid w:val="00F03A72"/>
    <w:rsid w:val="00F34A8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942D86"/>
    <w:rPr>
      <w:vertAlign w:val="superscript"/>
    </w:rPr>
  </w:style>
  <w:style w:type="character" w:customStyle="1" w:styleId="DipnotKarakterleri">
    <w:name w:val="Dipnot Karakterleri"/>
    <w:qFormat/>
    <w:rsid w:val="00942D86"/>
  </w:style>
  <w:style w:type="paragraph" w:customStyle="1" w:styleId="Footnote">
    <w:name w:val="Footnote"/>
    <w:basedOn w:val="Normal"/>
    <w:qFormat/>
    <w:rsid w:val="00942D86"/>
    <w:pPr>
      <w:suppressLineNumbers/>
      <w:spacing w:after="0" w:line="240" w:lineRule="auto"/>
      <w:ind w:left="339" w:hanging="339"/>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semiHidden/>
    <w:unhideWhenUsed/>
    <w:rsid w:val="00942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D86"/>
    <w:rPr>
      <w:sz w:val="20"/>
      <w:szCs w:val="20"/>
    </w:rPr>
  </w:style>
  <w:style w:type="character" w:styleId="FootnoteReference">
    <w:name w:val="footnote reference"/>
    <w:basedOn w:val="DefaultParagraphFont"/>
    <w:uiPriority w:val="99"/>
    <w:semiHidden/>
    <w:unhideWhenUsed/>
    <w:rsid w:val="00942D8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1845-777C-40A8-BFA8-CC3419FE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7</cp:revision>
  <dcterms:created xsi:type="dcterms:W3CDTF">2023-12-13T14:12:00Z</dcterms:created>
  <dcterms:modified xsi:type="dcterms:W3CDTF">2023-12-14T17:29:00Z</dcterms:modified>
</cp:coreProperties>
</file>